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41B19" w14:textId="77777777" w:rsidR="003800C3" w:rsidRPr="00601BA2" w:rsidRDefault="003800C3" w:rsidP="00423991">
      <w:pPr>
        <w:rPr>
          <w:caps/>
          <w:lang w:val="sr-Cyrl-RS"/>
        </w:rPr>
      </w:pPr>
      <w:r w:rsidRPr="00601BA2">
        <w:rPr>
          <w:caps/>
          <w:lang w:val="sr-Cyrl-RS"/>
        </w:rPr>
        <w:t>Универзитет у Нишу</w:t>
      </w:r>
    </w:p>
    <w:p w14:paraId="51207B8D" w14:textId="77777777" w:rsidR="003800C3" w:rsidRPr="00601BA2" w:rsidRDefault="003800C3" w:rsidP="00423991">
      <w:pPr>
        <w:rPr>
          <w:caps/>
          <w:lang w:val="sr-Cyrl-RS"/>
        </w:rPr>
      </w:pPr>
      <w:r w:rsidRPr="00601BA2">
        <w:rPr>
          <w:caps/>
          <w:lang w:val="sr-Cyrl-RS"/>
        </w:rPr>
        <w:t>Филозофски факултет</w:t>
      </w:r>
    </w:p>
    <w:p w14:paraId="6630B885" w14:textId="77777777" w:rsidR="003800C3" w:rsidRPr="00601BA2" w:rsidRDefault="003800C3" w:rsidP="00423991">
      <w:pPr>
        <w:rPr>
          <w:lang w:val="sr-Cyrl-RS"/>
        </w:rPr>
      </w:pPr>
    </w:p>
    <w:p w14:paraId="7623C085" w14:textId="77777777" w:rsidR="003800C3" w:rsidRPr="00601BA2" w:rsidRDefault="003800C3" w:rsidP="00423991">
      <w:pPr>
        <w:rPr>
          <w:lang w:val="sr-Cyrl-RS"/>
        </w:rPr>
      </w:pPr>
      <w:r w:rsidRPr="00601BA2">
        <w:rPr>
          <w:lang w:val="sr-Cyrl-RS"/>
        </w:rPr>
        <w:t>Наставно-научном Већу</w:t>
      </w:r>
    </w:p>
    <w:p w14:paraId="549DB855" w14:textId="77777777" w:rsidR="003800C3" w:rsidRPr="00601BA2" w:rsidRDefault="003800C3" w:rsidP="00423991">
      <w:pPr>
        <w:rPr>
          <w:lang w:val="sr-Cyrl-RS"/>
        </w:rPr>
      </w:pPr>
    </w:p>
    <w:p w14:paraId="41B58532" w14:textId="4D9FC6C3" w:rsidR="003800C3" w:rsidRPr="00601BA2" w:rsidRDefault="003800C3" w:rsidP="00423991">
      <w:pPr>
        <w:jc w:val="both"/>
        <w:rPr>
          <w:lang w:val="sr-Cyrl-RS"/>
        </w:rPr>
      </w:pPr>
      <w:r w:rsidRPr="00601BA2">
        <w:rPr>
          <w:lang w:val="sr-Cyrl-RS"/>
        </w:rPr>
        <w:t xml:space="preserve">На основу одлуке НН Већа Филозофског факултета </w:t>
      </w:r>
      <w:r w:rsidR="009C4F55" w:rsidRPr="00601BA2">
        <w:rPr>
          <w:lang w:val="sr-Cyrl-RS"/>
        </w:rPr>
        <w:t xml:space="preserve">у Нишу </w:t>
      </w:r>
      <w:r w:rsidRPr="00601BA2">
        <w:rPr>
          <w:lang w:val="sr-Cyrl-RS"/>
        </w:rPr>
        <w:t xml:space="preserve">број </w:t>
      </w:r>
      <w:r w:rsidR="002A259C" w:rsidRPr="00601BA2">
        <w:rPr>
          <w:lang w:val="sr-Cyrl-RS"/>
        </w:rPr>
        <w:t xml:space="preserve">117/1-9-7-01 </w:t>
      </w:r>
      <w:r w:rsidRPr="00601BA2">
        <w:rPr>
          <w:lang w:val="sr-Cyrl-RS"/>
        </w:rPr>
        <w:t xml:space="preserve">од </w:t>
      </w:r>
      <w:r w:rsidR="002A259C" w:rsidRPr="00601BA2">
        <w:rPr>
          <w:lang w:val="sr-Cyrl-RS"/>
        </w:rPr>
        <w:t>20</w:t>
      </w:r>
      <w:r w:rsidRPr="00601BA2">
        <w:rPr>
          <w:lang w:val="sr-Cyrl-RS"/>
        </w:rPr>
        <w:t xml:space="preserve">. </w:t>
      </w:r>
      <w:r w:rsidR="002A259C" w:rsidRPr="00601BA2">
        <w:rPr>
          <w:lang w:val="sr-Cyrl-RS"/>
        </w:rPr>
        <w:t xml:space="preserve">априла </w:t>
      </w:r>
      <w:r w:rsidRPr="00601BA2">
        <w:rPr>
          <w:lang w:val="sr-Cyrl-RS"/>
        </w:rPr>
        <w:t>2022. године, којом сам именован за рецензента за давање стручне оцене рукописа др Александре Јанић, доцента и др Душана Стаменковића, ванредног професора на Филозофском факултету, подносим Већу следећу</w:t>
      </w:r>
    </w:p>
    <w:p w14:paraId="6BC3B3B7" w14:textId="77777777" w:rsidR="003800C3" w:rsidRPr="00601BA2" w:rsidRDefault="003800C3" w:rsidP="00423991">
      <w:pPr>
        <w:jc w:val="both"/>
        <w:rPr>
          <w:lang w:val="sr-Cyrl-RS"/>
        </w:rPr>
      </w:pPr>
    </w:p>
    <w:p w14:paraId="4DD26A8A" w14:textId="77777777" w:rsidR="003800C3" w:rsidRPr="00601BA2" w:rsidRDefault="003800C3" w:rsidP="00423991">
      <w:pPr>
        <w:jc w:val="center"/>
        <w:rPr>
          <w:b/>
          <w:lang w:val="sr-Cyrl-RS"/>
        </w:rPr>
      </w:pPr>
      <w:r w:rsidRPr="00601BA2">
        <w:rPr>
          <w:b/>
          <w:lang w:val="sr-Cyrl-RS"/>
        </w:rPr>
        <w:t>РЕЦЕНЗИЈУ</w:t>
      </w:r>
    </w:p>
    <w:p w14:paraId="1C4E221A" w14:textId="77777777" w:rsidR="003800C3" w:rsidRPr="00601BA2" w:rsidRDefault="003800C3" w:rsidP="00423991">
      <w:pPr>
        <w:jc w:val="both"/>
        <w:rPr>
          <w:lang w:val="sr-Cyrl-RS"/>
        </w:rPr>
      </w:pPr>
    </w:p>
    <w:p w14:paraId="7C7EFD7C" w14:textId="059917FC" w:rsidR="003800C3" w:rsidRPr="00601BA2" w:rsidRDefault="003800C3" w:rsidP="00423991">
      <w:pPr>
        <w:jc w:val="center"/>
        <w:rPr>
          <w:lang w:val="sr-Cyrl-RS"/>
        </w:rPr>
      </w:pPr>
      <w:r w:rsidRPr="00601BA2">
        <w:rPr>
          <w:lang w:val="sr-Cyrl-RS"/>
        </w:rPr>
        <w:t xml:space="preserve">рукописа </w:t>
      </w:r>
      <w:r w:rsidR="002A259C" w:rsidRPr="00601BA2">
        <w:rPr>
          <w:i/>
          <w:lang w:val="sr-Cyrl-RS"/>
        </w:rPr>
        <w:t>Енглеско-српска к</w:t>
      </w:r>
      <w:r w:rsidRPr="00601BA2">
        <w:rPr>
          <w:i/>
          <w:lang w:val="sr-Cyrl-RS"/>
        </w:rPr>
        <w:t>онтрастивна лексикологија</w:t>
      </w:r>
      <w:r w:rsidRPr="00601BA2">
        <w:rPr>
          <w:lang w:val="sr-Cyrl-RS"/>
        </w:rPr>
        <w:t>,</w:t>
      </w:r>
    </w:p>
    <w:p w14:paraId="2ECF672C" w14:textId="77777777" w:rsidR="003800C3" w:rsidRPr="00601BA2" w:rsidRDefault="003800C3" w:rsidP="00423991">
      <w:pPr>
        <w:jc w:val="center"/>
        <w:rPr>
          <w:lang w:val="sr-Cyrl-RS"/>
        </w:rPr>
      </w:pPr>
      <w:r w:rsidRPr="00601BA2">
        <w:rPr>
          <w:lang w:val="sr-Cyrl-RS"/>
        </w:rPr>
        <w:t xml:space="preserve">аутора Јанић Александре и Стаменковић Душана </w:t>
      </w:r>
    </w:p>
    <w:p w14:paraId="65B5D6D4" w14:textId="77777777" w:rsidR="003800C3" w:rsidRPr="00601BA2" w:rsidRDefault="003800C3" w:rsidP="00423991">
      <w:pPr>
        <w:jc w:val="center"/>
        <w:rPr>
          <w:lang w:val="sr-Cyrl-RS"/>
        </w:rPr>
      </w:pPr>
    </w:p>
    <w:p w14:paraId="0BFF66AC" w14:textId="1FE7B924" w:rsidR="003800C3" w:rsidRPr="00601BA2" w:rsidRDefault="003800C3" w:rsidP="00423991">
      <w:pPr>
        <w:jc w:val="both"/>
        <w:rPr>
          <w:lang w:val="sr-Cyrl-RS"/>
        </w:rPr>
      </w:pPr>
      <w:r w:rsidRPr="00601BA2">
        <w:rPr>
          <w:lang w:val="sr-Cyrl-RS"/>
        </w:rPr>
        <w:tab/>
        <w:t xml:space="preserve">Рукопис </w:t>
      </w:r>
      <w:r w:rsidR="00BD732F" w:rsidRPr="00601BA2">
        <w:rPr>
          <w:i/>
          <w:lang w:val="sr-Cyrl-RS"/>
        </w:rPr>
        <w:t>Енглеско-српска контрастивна лексикологија</w:t>
      </w:r>
      <w:r w:rsidRPr="00601BA2">
        <w:rPr>
          <w:lang w:val="sr-Cyrl-RS"/>
        </w:rPr>
        <w:t xml:space="preserve"> састоји се од 2</w:t>
      </w:r>
      <w:r w:rsidR="00BD732F" w:rsidRPr="00601BA2">
        <w:rPr>
          <w:lang w:val="sr-Cyrl-RS"/>
        </w:rPr>
        <w:t>49</w:t>
      </w:r>
      <w:r w:rsidRPr="00601BA2">
        <w:rPr>
          <w:lang w:val="sr-Cyrl-RS"/>
        </w:rPr>
        <w:t xml:space="preserve"> страна текста припремљеног за објављивање, укључујући </w:t>
      </w:r>
      <w:r w:rsidR="009C4F55" w:rsidRPr="00601BA2">
        <w:rPr>
          <w:lang w:val="sr-Cyrl-RS"/>
        </w:rPr>
        <w:t xml:space="preserve">регистре, </w:t>
      </w:r>
      <w:r w:rsidRPr="00601BA2">
        <w:rPr>
          <w:lang w:val="sr-Cyrl-RS"/>
        </w:rPr>
        <w:t>библиографију</w:t>
      </w:r>
      <w:r w:rsidR="00BD732F" w:rsidRPr="00601BA2">
        <w:rPr>
          <w:lang w:val="sr-Cyrl-RS"/>
        </w:rPr>
        <w:t xml:space="preserve">, </w:t>
      </w:r>
      <w:r w:rsidRPr="00601BA2">
        <w:rPr>
          <w:lang w:val="sr-Cyrl-RS"/>
        </w:rPr>
        <w:t>белешке о ауторима</w:t>
      </w:r>
      <w:r w:rsidR="00BD732F" w:rsidRPr="00601BA2">
        <w:rPr>
          <w:lang w:val="sr-Cyrl-RS"/>
        </w:rPr>
        <w:t xml:space="preserve">, </w:t>
      </w:r>
      <w:r w:rsidR="002D10E2" w:rsidRPr="00601BA2">
        <w:rPr>
          <w:lang w:val="sr-Cyrl-RS"/>
        </w:rPr>
        <w:t>као и</w:t>
      </w:r>
      <w:r w:rsidR="00BD732F" w:rsidRPr="00601BA2">
        <w:rPr>
          <w:lang w:val="sr-Cyrl-RS"/>
        </w:rPr>
        <w:t xml:space="preserve"> сажетак на српском и енглеском језику</w:t>
      </w:r>
      <w:r w:rsidRPr="00601BA2">
        <w:rPr>
          <w:lang w:val="sr-Cyrl-RS"/>
        </w:rPr>
        <w:t>. Текст је писан на српском језику и подељен је у следећа поглавља и додатке:</w:t>
      </w:r>
    </w:p>
    <w:p w14:paraId="60129E4A" w14:textId="77777777" w:rsidR="003800C3" w:rsidRPr="00601BA2" w:rsidRDefault="003800C3" w:rsidP="00423991">
      <w:pPr>
        <w:jc w:val="both"/>
        <w:rPr>
          <w:lang w:val="sr-Cyrl-RS"/>
        </w:rPr>
      </w:pPr>
    </w:p>
    <w:p w14:paraId="44B581F1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>Уводне напомене</w:t>
      </w:r>
    </w:p>
    <w:p w14:paraId="72715072" w14:textId="154659CD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>1. Основи лексиколошког контрастирања енглеског и српског језика</w:t>
      </w:r>
    </w:p>
    <w:p w14:paraId="1D7D5AFE" w14:textId="7A47F3BA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>2. Речници и лексиколошки приручници енглеског и српског језика</w:t>
      </w:r>
    </w:p>
    <w:p w14:paraId="6D188110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 xml:space="preserve">3. Синонимија у светлу контрастивне лексикологије </w:t>
      </w:r>
    </w:p>
    <w:p w14:paraId="601C3347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>4. Контрастивни поглед на антонимију</w:t>
      </w:r>
    </w:p>
    <w:p w14:paraId="34E81D5C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>5. Контрастирање хипонима: пример глагола to look и гледати</w:t>
      </w:r>
    </w:p>
    <w:p w14:paraId="47BB21D9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>6. Полисемија и хомонимија из угла контрастивне лексикологије</w:t>
      </w:r>
    </w:p>
    <w:p w14:paraId="4C3945AD" w14:textId="6BB8FBD6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 xml:space="preserve">7. Полисемија, контекст и превођење: пример енглеског глагола to run </w:t>
      </w:r>
    </w:p>
    <w:p w14:paraId="578335D9" w14:textId="7598476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 xml:space="preserve">8. Англицизми и англосрпске речи у српском језику: између неопходности и престижа </w:t>
      </w:r>
    </w:p>
    <w:p w14:paraId="5FB5A2D1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 xml:space="preserve">9. Лажни парови у енглеском и српском језику </w:t>
      </w:r>
    </w:p>
    <w:p w14:paraId="563415B9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 xml:space="preserve">10. Контрастирање појмова везаних за боје </w:t>
      </w:r>
    </w:p>
    <w:p w14:paraId="27324655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>11. Контрастирање модалних глагола</w:t>
      </w:r>
    </w:p>
    <w:p w14:paraId="4EC0E27A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 xml:space="preserve">12. Жаргонска лексика у енглеском и српском језику </w:t>
      </w:r>
    </w:p>
    <w:p w14:paraId="58BD339E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>13. Фразеологизми у енглеском и српском језику</w:t>
      </w:r>
    </w:p>
    <w:p w14:paraId="622792D3" w14:textId="77777777" w:rsidR="00BD732F" w:rsidRPr="00601BA2" w:rsidRDefault="00BD732F" w:rsidP="00BD732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>Попис речника, корпуса, онлајн-извора и литературе</w:t>
      </w:r>
    </w:p>
    <w:p w14:paraId="6D72114F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 xml:space="preserve">Појмовни регистар </w:t>
      </w:r>
    </w:p>
    <w:p w14:paraId="4C0EE687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 xml:space="preserve">Регистар имена </w:t>
      </w:r>
    </w:p>
    <w:p w14:paraId="3409E2FA" w14:textId="77777777" w:rsidR="009A0D0F" w:rsidRPr="00601BA2" w:rsidRDefault="009A0D0F" w:rsidP="009A0D0F">
      <w:pPr>
        <w:ind w:left="709"/>
        <w:jc w:val="both"/>
        <w:rPr>
          <w:lang w:val="sr-Cyrl-RS"/>
        </w:rPr>
      </w:pPr>
      <w:r w:rsidRPr="00601BA2">
        <w:rPr>
          <w:lang w:val="sr-Cyrl-RS"/>
        </w:rPr>
        <w:t xml:space="preserve">Белешке о ауторима </w:t>
      </w:r>
    </w:p>
    <w:p w14:paraId="2BD3822D" w14:textId="77777777" w:rsidR="005F1465" w:rsidRPr="00601BA2" w:rsidRDefault="005F1465" w:rsidP="005F1465">
      <w:pPr>
        <w:ind w:left="1620"/>
        <w:jc w:val="both"/>
        <w:rPr>
          <w:lang w:val="sr-Cyrl-RS"/>
        </w:rPr>
      </w:pPr>
    </w:p>
    <w:p w14:paraId="5E2DD3E3" w14:textId="3D27BAA5" w:rsidR="00784A98" w:rsidRPr="00601BA2" w:rsidRDefault="00B80AA4" w:rsidP="00B80AA4">
      <w:pPr>
        <w:ind w:firstLine="708"/>
        <w:jc w:val="both"/>
        <w:rPr>
          <w:highlight w:val="yellow"/>
          <w:lang w:val="sr-Cyrl-RS"/>
        </w:rPr>
      </w:pPr>
      <w:r w:rsidRPr="00601BA2">
        <w:rPr>
          <w:lang w:val="sr-Cyrl-RS"/>
        </w:rPr>
        <w:t xml:space="preserve">У првом поглављу </w:t>
      </w:r>
      <w:r w:rsidR="00784A98" w:rsidRPr="00601BA2">
        <w:rPr>
          <w:lang w:val="sr-Cyrl-RS"/>
        </w:rPr>
        <w:t>рукописа дат</w:t>
      </w:r>
      <w:r w:rsidR="003606DB" w:rsidRPr="00601BA2">
        <w:rPr>
          <w:lang w:val="sr-Cyrl-RS"/>
        </w:rPr>
        <w:t>и</w:t>
      </w:r>
      <w:r w:rsidR="00784A98" w:rsidRPr="00601BA2">
        <w:rPr>
          <w:lang w:val="sr-Cyrl-RS"/>
        </w:rPr>
        <w:t xml:space="preserve"> су </w:t>
      </w:r>
      <w:r w:rsidR="00037AD1" w:rsidRPr="00601BA2">
        <w:rPr>
          <w:lang w:val="sr-Cyrl-RS"/>
        </w:rPr>
        <w:t>појам контрастивне лексикологије</w:t>
      </w:r>
      <w:r w:rsidRPr="00601BA2">
        <w:rPr>
          <w:lang w:val="sr-Cyrl-RS"/>
        </w:rPr>
        <w:t xml:space="preserve"> </w:t>
      </w:r>
      <w:r w:rsidR="003606DB" w:rsidRPr="00601BA2">
        <w:rPr>
          <w:lang w:val="sr-Cyrl-RS"/>
        </w:rPr>
        <w:t xml:space="preserve">и поступци који се примењују приликом </w:t>
      </w:r>
      <w:r w:rsidRPr="00601BA2">
        <w:rPr>
          <w:lang w:val="sr-Cyrl-RS"/>
        </w:rPr>
        <w:t xml:space="preserve">лексиколошких контрастивних проучавања енглеског и српског језика. </w:t>
      </w:r>
      <w:r w:rsidR="00037AD1" w:rsidRPr="00601BA2">
        <w:rPr>
          <w:lang w:val="sr-Cyrl-RS"/>
        </w:rPr>
        <w:t xml:space="preserve">Осим тога, у поглављу је дат и кратак осврт на </w:t>
      </w:r>
      <w:r w:rsidR="00184EDC" w:rsidRPr="00601BA2">
        <w:rPr>
          <w:lang w:val="sr-Cyrl-RS"/>
        </w:rPr>
        <w:t xml:space="preserve">темељне </w:t>
      </w:r>
      <w:r w:rsidR="00037AD1" w:rsidRPr="00601BA2">
        <w:rPr>
          <w:lang w:val="sr-Cyrl-RS"/>
        </w:rPr>
        <w:t xml:space="preserve">радове </w:t>
      </w:r>
      <w:r w:rsidR="00184EDC" w:rsidRPr="00601BA2">
        <w:rPr>
          <w:lang w:val="sr-Cyrl-RS"/>
        </w:rPr>
        <w:t xml:space="preserve">и најзначајније референце </w:t>
      </w:r>
      <w:r w:rsidR="00037AD1" w:rsidRPr="00601BA2">
        <w:rPr>
          <w:lang w:val="sr-Cyrl-RS"/>
        </w:rPr>
        <w:t xml:space="preserve">из области. </w:t>
      </w:r>
    </w:p>
    <w:p w14:paraId="2589BF5A" w14:textId="1D8D915A" w:rsidR="00784A98" w:rsidRPr="00601BA2" w:rsidRDefault="00B80AA4" w:rsidP="00B80AA4">
      <w:pPr>
        <w:ind w:firstLine="708"/>
        <w:jc w:val="both"/>
        <w:rPr>
          <w:highlight w:val="yellow"/>
          <w:lang w:val="sr-Cyrl-RS"/>
        </w:rPr>
      </w:pPr>
      <w:r w:rsidRPr="00601BA2">
        <w:rPr>
          <w:lang w:val="sr-Cyrl-RS"/>
        </w:rPr>
        <w:t xml:space="preserve">Друго поглавље </w:t>
      </w:r>
      <w:r w:rsidR="00901285" w:rsidRPr="00601BA2">
        <w:rPr>
          <w:lang w:val="sr-Cyrl-RS"/>
        </w:rPr>
        <w:t>рукописа</w:t>
      </w:r>
      <w:r w:rsidRPr="00601BA2">
        <w:rPr>
          <w:lang w:val="sr-Cyrl-RS"/>
        </w:rPr>
        <w:t xml:space="preserve"> садржи </w:t>
      </w:r>
      <w:r w:rsidR="00901285" w:rsidRPr="00601BA2">
        <w:rPr>
          <w:lang w:val="sr-Cyrl-RS"/>
        </w:rPr>
        <w:t xml:space="preserve">основне информације о речницима српског језика, речницима енглеског језика, те о контрастивним енглеско-српским и српско-енглеским речницима. </w:t>
      </w:r>
      <w:r w:rsidR="004D7A48" w:rsidRPr="00601BA2">
        <w:rPr>
          <w:lang w:val="sr-Cyrl-RS"/>
        </w:rPr>
        <w:t>Аутори овде доносе примере</w:t>
      </w:r>
      <w:r w:rsidR="00901285" w:rsidRPr="00601BA2">
        <w:rPr>
          <w:lang w:val="sr-Cyrl-RS"/>
        </w:rPr>
        <w:t xml:space="preserve"> лексем</w:t>
      </w:r>
      <w:r w:rsidR="004D7A48" w:rsidRPr="00601BA2">
        <w:rPr>
          <w:lang w:val="sr-Cyrl-RS"/>
        </w:rPr>
        <w:t>а</w:t>
      </w:r>
      <w:r w:rsidR="00901285" w:rsidRPr="00601BA2">
        <w:rPr>
          <w:lang w:val="sr-Cyrl-RS"/>
        </w:rPr>
        <w:t xml:space="preserve"> и њихове лексикографске дефиниције, са циљем лакше употребе изабраних </w:t>
      </w:r>
      <w:r w:rsidR="00901285" w:rsidRPr="00601BA2">
        <w:rPr>
          <w:lang w:val="sr-Cyrl-RS"/>
        </w:rPr>
        <w:lastRenderedPageBreak/>
        <w:t xml:space="preserve">репрезентативних речника. Такође, на крају </w:t>
      </w:r>
      <w:r w:rsidR="00DF0595" w:rsidRPr="00601BA2">
        <w:rPr>
          <w:lang w:val="sr-Cyrl-RS"/>
        </w:rPr>
        <w:t xml:space="preserve">овог одељка понуђене </w:t>
      </w:r>
      <w:r w:rsidR="00901285" w:rsidRPr="00601BA2">
        <w:rPr>
          <w:lang w:val="sr-Cyrl-RS"/>
        </w:rPr>
        <w:t>су и основне информације о одабраним лексиколошким</w:t>
      </w:r>
      <w:r w:rsidR="00824BD9" w:rsidRPr="00601BA2">
        <w:rPr>
          <w:lang w:val="sr-Cyrl-RS"/>
        </w:rPr>
        <w:t xml:space="preserve"> уџбеницима и</w:t>
      </w:r>
      <w:r w:rsidR="00901285" w:rsidRPr="00601BA2">
        <w:rPr>
          <w:lang w:val="sr-Cyrl-RS"/>
        </w:rPr>
        <w:t xml:space="preserve"> приручницима.</w:t>
      </w:r>
    </w:p>
    <w:p w14:paraId="06AC64F3" w14:textId="43D3A3AF" w:rsidR="00784A98" w:rsidRPr="00601BA2" w:rsidRDefault="00824BD9" w:rsidP="00B80AA4">
      <w:pPr>
        <w:ind w:firstLine="708"/>
        <w:jc w:val="both"/>
        <w:rPr>
          <w:lang w:val="sr-Cyrl-RS"/>
        </w:rPr>
      </w:pPr>
      <w:r w:rsidRPr="00601BA2">
        <w:rPr>
          <w:lang w:val="sr-Cyrl-RS"/>
        </w:rPr>
        <w:t>Поглавља од</w:t>
      </w:r>
      <w:r w:rsidR="00B80AA4" w:rsidRPr="00601BA2">
        <w:rPr>
          <w:lang w:val="sr-Cyrl-RS"/>
        </w:rPr>
        <w:t xml:space="preserve"> трећег до осмог </w:t>
      </w:r>
      <w:r w:rsidRPr="00601BA2">
        <w:rPr>
          <w:lang w:val="sr-Cyrl-RS"/>
        </w:rPr>
        <w:t>обухватају</w:t>
      </w:r>
      <w:r w:rsidR="00B80AA4" w:rsidRPr="00601BA2">
        <w:rPr>
          <w:lang w:val="sr-Cyrl-RS"/>
        </w:rPr>
        <w:t xml:space="preserve"> специфичности конкретних лексиколошких појава </w:t>
      </w:r>
      <w:r w:rsidRPr="00601BA2">
        <w:rPr>
          <w:lang w:val="sr-Cyrl-RS"/>
        </w:rPr>
        <w:t>као што су</w:t>
      </w:r>
      <w:r w:rsidR="00B80AA4" w:rsidRPr="00601BA2">
        <w:rPr>
          <w:lang w:val="sr-Cyrl-RS"/>
        </w:rPr>
        <w:t xml:space="preserve"> синонимиј</w:t>
      </w:r>
      <w:r w:rsidRPr="00601BA2">
        <w:rPr>
          <w:lang w:val="sr-Cyrl-RS"/>
        </w:rPr>
        <w:t>а</w:t>
      </w:r>
      <w:r w:rsidR="00B80AA4" w:rsidRPr="00601BA2">
        <w:rPr>
          <w:lang w:val="sr-Cyrl-RS"/>
        </w:rPr>
        <w:t>, антонимиј</w:t>
      </w:r>
      <w:r w:rsidRPr="00601BA2">
        <w:rPr>
          <w:lang w:val="sr-Cyrl-RS"/>
        </w:rPr>
        <w:t>а</w:t>
      </w:r>
      <w:r w:rsidR="00B80AA4" w:rsidRPr="00601BA2">
        <w:rPr>
          <w:lang w:val="sr-Cyrl-RS"/>
        </w:rPr>
        <w:t>, хипонимиј</w:t>
      </w:r>
      <w:r w:rsidRPr="00601BA2">
        <w:rPr>
          <w:lang w:val="sr-Cyrl-RS"/>
        </w:rPr>
        <w:t>а</w:t>
      </w:r>
      <w:r w:rsidR="00B80AA4" w:rsidRPr="00601BA2">
        <w:rPr>
          <w:lang w:val="sr-Cyrl-RS"/>
        </w:rPr>
        <w:t xml:space="preserve">, </w:t>
      </w:r>
      <w:r w:rsidR="00806E0F" w:rsidRPr="00601BA2">
        <w:rPr>
          <w:lang w:val="sr-Cyrl-RS"/>
        </w:rPr>
        <w:t xml:space="preserve">хомонимија и </w:t>
      </w:r>
      <w:r w:rsidR="00B80AA4" w:rsidRPr="00601BA2">
        <w:rPr>
          <w:lang w:val="sr-Cyrl-RS"/>
        </w:rPr>
        <w:t>полисемиј</w:t>
      </w:r>
      <w:r w:rsidRPr="00601BA2">
        <w:rPr>
          <w:lang w:val="sr-Cyrl-RS"/>
        </w:rPr>
        <w:t>а</w:t>
      </w:r>
      <w:r w:rsidR="00B80AA4" w:rsidRPr="00601BA2">
        <w:rPr>
          <w:lang w:val="sr-Cyrl-RS"/>
        </w:rPr>
        <w:t xml:space="preserve">, </w:t>
      </w:r>
      <w:r w:rsidR="00806E0F" w:rsidRPr="00601BA2">
        <w:rPr>
          <w:lang w:val="sr-Cyrl-RS"/>
        </w:rPr>
        <w:t>уз</w:t>
      </w:r>
      <w:r w:rsidR="00B80AA4" w:rsidRPr="00601BA2">
        <w:rPr>
          <w:lang w:val="sr-Cyrl-RS"/>
        </w:rPr>
        <w:t xml:space="preserve"> осврт на изазове </w:t>
      </w:r>
      <w:r w:rsidR="00806E0F" w:rsidRPr="00601BA2">
        <w:rPr>
          <w:lang w:val="sr-Cyrl-RS"/>
        </w:rPr>
        <w:t xml:space="preserve">које ове појаве могу представљати </w:t>
      </w:r>
      <w:r w:rsidR="00B80AA4" w:rsidRPr="00601BA2">
        <w:rPr>
          <w:lang w:val="sr-Cyrl-RS"/>
        </w:rPr>
        <w:t>при</w:t>
      </w:r>
      <w:r w:rsidR="00806E0F" w:rsidRPr="00601BA2">
        <w:rPr>
          <w:lang w:val="sr-Cyrl-RS"/>
        </w:rPr>
        <w:t>ликом</w:t>
      </w:r>
      <w:r w:rsidR="00B80AA4" w:rsidRPr="00601BA2">
        <w:rPr>
          <w:lang w:val="sr-Cyrl-RS"/>
        </w:rPr>
        <w:t xml:space="preserve"> превођењ</w:t>
      </w:r>
      <w:r w:rsidR="00806E0F" w:rsidRPr="00601BA2">
        <w:rPr>
          <w:lang w:val="sr-Cyrl-RS"/>
        </w:rPr>
        <w:t>а</w:t>
      </w:r>
      <w:r w:rsidR="00B80AA4" w:rsidRPr="00601BA2">
        <w:rPr>
          <w:lang w:val="sr-Cyrl-RS"/>
        </w:rPr>
        <w:t>.</w:t>
      </w:r>
      <w:r w:rsidR="00295CF4" w:rsidRPr="00601BA2">
        <w:rPr>
          <w:lang w:val="sr-Cyrl-RS"/>
        </w:rPr>
        <w:t xml:space="preserve"> На конкретним примерима и узорцима из језика, на врло стручан и </w:t>
      </w:r>
      <w:r w:rsidR="002D10E2" w:rsidRPr="00601BA2">
        <w:rPr>
          <w:lang w:val="sr-Cyrl-RS"/>
        </w:rPr>
        <w:t>инструктиван</w:t>
      </w:r>
      <w:r w:rsidR="00295CF4" w:rsidRPr="00601BA2">
        <w:rPr>
          <w:lang w:val="sr-Cyrl-RS"/>
        </w:rPr>
        <w:t xml:space="preserve"> начин</w:t>
      </w:r>
      <w:r w:rsidR="00CA6F65" w:rsidRPr="00601BA2">
        <w:rPr>
          <w:lang w:val="sr-Cyrl-RS"/>
        </w:rPr>
        <w:t>, уз мноштво илустративних и контекстуализованих примера,</w:t>
      </w:r>
      <w:r w:rsidR="00295CF4" w:rsidRPr="00601BA2">
        <w:rPr>
          <w:lang w:val="sr-Cyrl-RS"/>
        </w:rPr>
        <w:t xml:space="preserve"> образлагани су различити аспекти у контрастирању када су лексеме </w:t>
      </w:r>
      <w:r w:rsidR="00CA6F65" w:rsidRPr="00601BA2">
        <w:rPr>
          <w:lang w:val="sr-Cyrl-RS"/>
        </w:rPr>
        <w:t>енглеског</w:t>
      </w:r>
      <w:r w:rsidR="00295CF4" w:rsidRPr="00601BA2">
        <w:rPr>
          <w:lang w:val="sr-Cyrl-RS"/>
        </w:rPr>
        <w:t xml:space="preserve"> и српског у питању.</w:t>
      </w:r>
    </w:p>
    <w:p w14:paraId="32CAD9B6" w14:textId="42A48B06" w:rsidR="002C311F" w:rsidRPr="00601BA2" w:rsidRDefault="00B80AA4" w:rsidP="00784A98">
      <w:pPr>
        <w:ind w:firstLine="708"/>
        <w:jc w:val="both"/>
        <w:rPr>
          <w:highlight w:val="yellow"/>
          <w:lang w:val="sr-Cyrl-RS"/>
        </w:rPr>
      </w:pPr>
      <w:r w:rsidRPr="00601BA2">
        <w:rPr>
          <w:lang w:val="sr-Cyrl-RS"/>
        </w:rPr>
        <w:t>Семантичке специфичности, обличке карактеристике и употреба англицизама и англосрпских речи у српском језику су предмет посебног поглавља</w:t>
      </w:r>
      <w:r w:rsidR="00F5491A" w:rsidRPr="00601BA2">
        <w:rPr>
          <w:lang w:val="sr-Cyrl-RS"/>
        </w:rPr>
        <w:t>, као и значајан пр</w:t>
      </w:r>
      <w:r w:rsidR="00601BA2" w:rsidRPr="00601BA2">
        <w:rPr>
          <w:lang w:val="sr-Cyrl-RS"/>
        </w:rPr>
        <w:t>о</w:t>
      </w:r>
      <w:r w:rsidR="00F5491A" w:rsidRPr="00601BA2">
        <w:rPr>
          <w:lang w:val="sr-Cyrl-RS"/>
        </w:rPr>
        <w:t>блем л</w:t>
      </w:r>
      <w:r w:rsidRPr="00601BA2">
        <w:rPr>
          <w:lang w:val="sr-Cyrl-RS"/>
        </w:rPr>
        <w:t>ажни</w:t>
      </w:r>
      <w:r w:rsidR="00F5491A" w:rsidRPr="00601BA2">
        <w:rPr>
          <w:lang w:val="sr-Cyrl-RS"/>
        </w:rPr>
        <w:t>х</w:t>
      </w:r>
      <w:r w:rsidRPr="00601BA2">
        <w:rPr>
          <w:lang w:val="sr-Cyrl-RS"/>
        </w:rPr>
        <w:t xml:space="preserve"> паров</w:t>
      </w:r>
      <w:r w:rsidR="00F5491A" w:rsidRPr="00601BA2">
        <w:rPr>
          <w:lang w:val="sr-Cyrl-RS"/>
        </w:rPr>
        <w:t>а</w:t>
      </w:r>
      <w:r w:rsidRPr="00601BA2">
        <w:rPr>
          <w:lang w:val="sr-Cyrl-RS"/>
        </w:rPr>
        <w:t xml:space="preserve"> у енглеском и српском</w:t>
      </w:r>
      <w:r w:rsidR="00F5491A" w:rsidRPr="00601BA2">
        <w:rPr>
          <w:lang w:val="sr-Cyrl-RS"/>
        </w:rPr>
        <w:t>.</w:t>
      </w:r>
      <w:r w:rsidR="00DD1C82" w:rsidRPr="00601BA2">
        <w:rPr>
          <w:lang w:val="sr-Cyrl-RS"/>
        </w:rPr>
        <w:t xml:space="preserve"> Осим тога, аутори су понудили и к</w:t>
      </w:r>
      <w:r w:rsidRPr="00601BA2">
        <w:rPr>
          <w:lang w:val="sr-Cyrl-RS"/>
        </w:rPr>
        <w:t>онтрастирање речнич</w:t>
      </w:r>
      <w:r w:rsidR="00601BA2">
        <w:rPr>
          <w:lang w:val="sr-Cyrl-RS"/>
        </w:rPr>
        <w:t>к</w:t>
      </w:r>
      <w:r w:rsidRPr="00601BA2">
        <w:rPr>
          <w:lang w:val="sr-Cyrl-RS"/>
        </w:rPr>
        <w:t xml:space="preserve">их значења на примерима лексема </w:t>
      </w:r>
      <w:r w:rsidR="00DD1C82" w:rsidRPr="00601BA2">
        <w:rPr>
          <w:lang w:val="sr-Cyrl-RS"/>
        </w:rPr>
        <w:t>за</w:t>
      </w:r>
      <w:r w:rsidRPr="00601BA2">
        <w:rPr>
          <w:lang w:val="sr-Cyrl-RS"/>
        </w:rPr>
        <w:t xml:space="preserve"> имен</w:t>
      </w:r>
      <w:r w:rsidR="00DD1C82" w:rsidRPr="00601BA2">
        <w:rPr>
          <w:lang w:val="sr-Cyrl-RS"/>
        </w:rPr>
        <w:t>овање</w:t>
      </w:r>
      <w:r w:rsidRPr="00601BA2">
        <w:rPr>
          <w:lang w:val="sr-Cyrl-RS"/>
        </w:rPr>
        <w:t xml:space="preserve"> основн</w:t>
      </w:r>
      <w:r w:rsidR="00DD1C82" w:rsidRPr="00601BA2">
        <w:rPr>
          <w:lang w:val="sr-Cyrl-RS"/>
        </w:rPr>
        <w:t>их</w:t>
      </w:r>
      <w:r w:rsidRPr="00601BA2">
        <w:rPr>
          <w:lang w:val="sr-Cyrl-RS"/>
        </w:rPr>
        <w:t xml:space="preserve"> бој</w:t>
      </w:r>
      <w:r w:rsidR="00DD1C82" w:rsidRPr="00601BA2">
        <w:rPr>
          <w:lang w:val="sr-Cyrl-RS"/>
        </w:rPr>
        <w:t>а</w:t>
      </w:r>
      <w:r w:rsidRPr="00601BA2">
        <w:rPr>
          <w:lang w:val="sr-Cyrl-RS"/>
        </w:rPr>
        <w:t xml:space="preserve"> у енглеском и српском језику (</w:t>
      </w:r>
      <w:r w:rsidR="00DD1C82" w:rsidRPr="00601BA2">
        <w:rPr>
          <w:lang w:val="sr-Cyrl-RS"/>
        </w:rPr>
        <w:t>веома богато десето</w:t>
      </w:r>
      <w:r w:rsidRPr="00601BA2">
        <w:rPr>
          <w:lang w:val="sr-Cyrl-RS"/>
        </w:rPr>
        <w:t xml:space="preserve"> поглавље)</w:t>
      </w:r>
      <w:r w:rsidR="00DD1C82" w:rsidRPr="00601BA2">
        <w:rPr>
          <w:lang w:val="sr-Cyrl-RS"/>
        </w:rPr>
        <w:t>, док је к</w:t>
      </w:r>
      <w:r w:rsidRPr="00601BA2">
        <w:rPr>
          <w:lang w:val="sr-Cyrl-RS"/>
        </w:rPr>
        <w:t xml:space="preserve">онтрастирање глагола обухватило </w:t>
      </w:r>
      <w:r w:rsidR="00DD1C82" w:rsidRPr="00601BA2">
        <w:rPr>
          <w:lang w:val="sr-Cyrl-RS"/>
        </w:rPr>
        <w:t xml:space="preserve">посебно </w:t>
      </w:r>
      <w:r w:rsidRPr="00601BA2">
        <w:rPr>
          <w:lang w:val="sr-Cyrl-RS"/>
        </w:rPr>
        <w:t xml:space="preserve">модалне глаголе, глаголе гледања и </w:t>
      </w:r>
      <w:r w:rsidR="00DD1C82" w:rsidRPr="00601BA2">
        <w:rPr>
          <w:lang w:val="sr-Cyrl-RS"/>
        </w:rPr>
        <w:t xml:space="preserve">кретања </w:t>
      </w:r>
      <w:r w:rsidRPr="00601BA2">
        <w:rPr>
          <w:lang w:val="sr-Cyrl-RS"/>
        </w:rPr>
        <w:t>људ</w:t>
      </w:r>
      <w:r w:rsidR="00DD1C82" w:rsidRPr="00601BA2">
        <w:rPr>
          <w:lang w:val="sr-Cyrl-RS"/>
        </w:rPr>
        <w:t>и</w:t>
      </w:r>
      <w:r w:rsidRPr="00601BA2">
        <w:rPr>
          <w:lang w:val="sr-Cyrl-RS"/>
        </w:rPr>
        <w:t xml:space="preserve">. </w:t>
      </w:r>
    </w:p>
    <w:p w14:paraId="4C8EFD72" w14:textId="7B87BE0E" w:rsidR="005F1465" w:rsidRPr="00601BA2" w:rsidRDefault="00FF7333" w:rsidP="00DD1C82">
      <w:pPr>
        <w:ind w:firstLine="708"/>
        <w:jc w:val="both"/>
        <w:rPr>
          <w:lang w:val="sr-Cyrl-RS"/>
        </w:rPr>
      </w:pPr>
      <w:r w:rsidRPr="00601BA2">
        <w:rPr>
          <w:lang w:val="sr-Cyrl-RS"/>
        </w:rPr>
        <w:t xml:space="preserve">Осим стандардне лексике енглеског и српског језика, </w:t>
      </w:r>
      <w:r w:rsidR="00601BA2">
        <w:rPr>
          <w:lang w:val="sr-Cyrl-RS"/>
        </w:rPr>
        <w:t>у</w:t>
      </w:r>
      <w:r w:rsidRPr="00601BA2">
        <w:rPr>
          <w:lang w:val="sr-Cyrl-RS"/>
        </w:rPr>
        <w:t xml:space="preserve"> дванаестом поглављу аутори обрађују жаргонизме у српском и енглеском језику, посебно из семантичког и обличко-творбеног угла. Посматране су значењске специфичности и разлике у зависности од регионалног варијетета, а издвојени су и најчешћи творбени модели међу жаргонизмима. </w:t>
      </w:r>
      <w:r w:rsidR="00B80AA4" w:rsidRPr="00601BA2">
        <w:rPr>
          <w:lang w:val="sr-Cyrl-RS"/>
        </w:rPr>
        <w:t xml:space="preserve">Фразеолошки спојеви речи посматрани су контрастивно у </w:t>
      </w:r>
      <w:r w:rsidR="008D21A6" w:rsidRPr="00601BA2">
        <w:rPr>
          <w:lang w:val="sr-Cyrl-RS"/>
        </w:rPr>
        <w:t>тринаестом, последњем</w:t>
      </w:r>
      <w:r w:rsidR="00B80AA4" w:rsidRPr="00601BA2">
        <w:rPr>
          <w:lang w:val="sr-Cyrl-RS"/>
        </w:rPr>
        <w:t xml:space="preserve"> поглављу</w:t>
      </w:r>
      <w:r w:rsidR="009141DF" w:rsidRPr="00601BA2">
        <w:rPr>
          <w:lang w:val="sr-Cyrl-RS"/>
        </w:rPr>
        <w:t xml:space="preserve"> рукописа.</w:t>
      </w:r>
    </w:p>
    <w:p w14:paraId="249DD46F" w14:textId="000F0A79" w:rsidR="005F1465" w:rsidRPr="00601BA2" w:rsidRDefault="005F1465" w:rsidP="00943A66">
      <w:pPr>
        <w:jc w:val="both"/>
        <w:rPr>
          <w:highlight w:val="yellow"/>
          <w:lang w:val="sr-Cyrl-RS"/>
        </w:rPr>
      </w:pPr>
      <w:r w:rsidRPr="00601BA2">
        <w:rPr>
          <w:i/>
          <w:lang w:val="sr-Cyrl-RS"/>
        </w:rPr>
        <w:tab/>
      </w:r>
      <w:r w:rsidR="00EF0ADA" w:rsidRPr="00601BA2">
        <w:rPr>
          <w:iCs/>
          <w:lang w:val="sr-Cyrl-RS"/>
        </w:rPr>
        <w:t xml:space="preserve">Уџбеник </w:t>
      </w:r>
      <w:r w:rsidR="00601BA2" w:rsidRPr="00601BA2">
        <w:rPr>
          <w:i/>
          <w:lang w:val="sr-Cyrl-RS"/>
        </w:rPr>
        <w:t>Енглеско-српска контрастивна лексикологија</w:t>
      </w:r>
      <w:r w:rsidR="00601BA2" w:rsidRPr="00601BA2">
        <w:rPr>
          <w:sz w:val="22"/>
          <w:szCs w:val="22"/>
          <w:lang w:val="sr-Cyrl-RS"/>
        </w:rPr>
        <w:t xml:space="preserve"> </w:t>
      </w:r>
      <w:r w:rsidR="00EF0ADA" w:rsidRPr="00601BA2">
        <w:rPr>
          <w:sz w:val="22"/>
          <w:szCs w:val="22"/>
          <w:lang w:val="sr-Cyrl-RS"/>
        </w:rPr>
        <w:t>је примарно намењен студентима програма мастер студија на Департману за англистику, али и св</w:t>
      </w:r>
      <w:r w:rsidR="00601BA2">
        <w:rPr>
          <w:sz w:val="22"/>
          <w:szCs w:val="22"/>
          <w:lang w:val="sr-Cyrl-RS"/>
        </w:rPr>
        <w:t>и</w:t>
      </w:r>
      <w:r w:rsidR="00EF0ADA" w:rsidRPr="00601BA2">
        <w:rPr>
          <w:sz w:val="22"/>
          <w:szCs w:val="22"/>
          <w:lang w:val="sr-Cyrl-RS"/>
        </w:rPr>
        <w:t>ма онима који су заинтересовани за контрастивно проучавања енглеског и српског језика на нивоу лексике</w:t>
      </w:r>
      <w:r w:rsidR="00A64E3B" w:rsidRPr="00601BA2">
        <w:rPr>
          <w:sz w:val="22"/>
          <w:szCs w:val="22"/>
          <w:lang w:val="sr-Cyrl-RS"/>
        </w:rPr>
        <w:t>, подједнако англистима и србистима.</w:t>
      </w:r>
      <w:r w:rsidR="00EF0ADA" w:rsidRPr="00601BA2">
        <w:rPr>
          <w:sz w:val="22"/>
          <w:szCs w:val="22"/>
          <w:lang w:val="sr-Cyrl-RS"/>
        </w:rPr>
        <w:t xml:space="preserve"> </w:t>
      </w:r>
      <w:r w:rsidR="002C311F" w:rsidRPr="00601BA2">
        <w:rPr>
          <w:sz w:val="22"/>
          <w:szCs w:val="22"/>
          <w:lang w:val="sr-Cyrl-RS"/>
        </w:rPr>
        <w:t>Написан је јасним и разумљивим стилом који је приступачан свим читаоцима, а опсег је свеобухватан и укључује све оне аспекте теме коју покрива на најбољи начин за дату намену.</w:t>
      </w:r>
      <w:r w:rsidR="00A07B8C" w:rsidRPr="00601BA2">
        <w:rPr>
          <w:sz w:val="22"/>
          <w:szCs w:val="22"/>
          <w:lang w:val="sr-Cyrl-RS"/>
        </w:rPr>
        <w:t xml:space="preserve"> Обиље илустративних примера који одсликавају одређене језичко-лингвистичке концепте или односе усмерено је ка поспешивању савладавања апстрактнијег, теоријско-појмовног дела текста и у томе </w:t>
      </w:r>
      <w:r w:rsidR="00DF282A" w:rsidRPr="00601BA2">
        <w:rPr>
          <w:sz w:val="22"/>
          <w:szCs w:val="22"/>
          <w:lang w:val="sr-Cyrl-RS"/>
        </w:rPr>
        <w:t xml:space="preserve">су аутори постигли </w:t>
      </w:r>
      <w:r w:rsidR="00A07B8C" w:rsidRPr="00601BA2">
        <w:rPr>
          <w:sz w:val="22"/>
          <w:szCs w:val="22"/>
          <w:lang w:val="sr-Cyrl-RS"/>
        </w:rPr>
        <w:t xml:space="preserve"> </w:t>
      </w:r>
      <w:r w:rsidR="00DF282A" w:rsidRPr="00601BA2">
        <w:rPr>
          <w:sz w:val="22"/>
          <w:szCs w:val="22"/>
          <w:lang w:val="sr-Cyrl-RS"/>
        </w:rPr>
        <w:t>сувереност</w:t>
      </w:r>
      <w:r w:rsidR="00A07B8C" w:rsidRPr="00601BA2">
        <w:rPr>
          <w:sz w:val="22"/>
          <w:szCs w:val="22"/>
          <w:lang w:val="sr-Cyrl-RS"/>
        </w:rPr>
        <w:t>.</w:t>
      </w:r>
      <w:r w:rsidR="00DF282A" w:rsidRPr="00601BA2">
        <w:rPr>
          <w:sz w:val="22"/>
          <w:szCs w:val="22"/>
          <w:lang w:val="sr-Cyrl-RS"/>
        </w:rPr>
        <w:t xml:space="preserve"> Читав репозиторијум примера праћен је одличним анализама на формално-семантичком нивоу</w:t>
      </w:r>
      <w:r w:rsidR="00943A66" w:rsidRPr="00601BA2">
        <w:rPr>
          <w:sz w:val="22"/>
          <w:szCs w:val="22"/>
          <w:lang w:val="sr-Cyrl-RS"/>
        </w:rPr>
        <w:t xml:space="preserve"> што даје пуни смисао оваквим контрастивним настојањима, а још бољу сврху пуб</w:t>
      </w:r>
      <w:r w:rsidR="00601BA2">
        <w:rPr>
          <w:sz w:val="22"/>
          <w:szCs w:val="22"/>
          <w:lang w:val="sr-Cyrl-RS"/>
        </w:rPr>
        <w:t>л</w:t>
      </w:r>
      <w:r w:rsidR="00943A66" w:rsidRPr="00601BA2">
        <w:rPr>
          <w:sz w:val="22"/>
          <w:szCs w:val="22"/>
          <w:lang w:val="sr-Cyrl-RS"/>
        </w:rPr>
        <w:t xml:space="preserve">икацијама ове врсте. </w:t>
      </w:r>
      <w:r w:rsidR="00A402A9" w:rsidRPr="00601BA2">
        <w:rPr>
          <w:sz w:val="22"/>
          <w:szCs w:val="22"/>
          <w:lang w:val="sr-Cyrl-RS"/>
        </w:rPr>
        <w:t xml:space="preserve">Оно што је посебан квалитет овог уџбеника су добро одабрана и осмишљена питања за размишљање и дискусију </w:t>
      </w:r>
      <w:r w:rsidR="002C311F" w:rsidRPr="00601BA2">
        <w:rPr>
          <w:sz w:val="22"/>
          <w:szCs w:val="22"/>
          <w:lang w:val="sr-Cyrl-RS"/>
        </w:rPr>
        <w:t>на крају сваког поглавља упућена</w:t>
      </w:r>
      <w:r w:rsidR="00A402A9" w:rsidRPr="00601BA2">
        <w:rPr>
          <w:sz w:val="22"/>
          <w:szCs w:val="22"/>
          <w:lang w:val="sr-Cyrl-RS"/>
        </w:rPr>
        <w:t xml:space="preserve"> корисницима како би </w:t>
      </w:r>
      <w:r w:rsidR="002C311F" w:rsidRPr="00601BA2">
        <w:rPr>
          <w:sz w:val="22"/>
          <w:szCs w:val="22"/>
          <w:lang w:val="sr-Cyrl-RS"/>
        </w:rPr>
        <w:t xml:space="preserve">се </w:t>
      </w:r>
      <w:r w:rsidR="00943A66" w:rsidRPr="00601BA2">
        <w:rPr>
          <w:sz w:val="22"/>
          <w:szCs w:val="22"/>
          <w:lang w:val="sr-Cyrl-RS"/>
        </w:rPr>
        <w:t>унапредили</w:t>
      </w:r>
      <w:r w:rsidR="00A402A9" w:rsidRPr="00601BA2">
        <w:rPr>
          <w:sz w:val="22"/>
          <w:szCs w:val="22"/>
          <w:lang w:val="sr-Cyrl-RS"/>
        </w:rPr>
        <w:t xml:space="preserve"> разумевање материјала</w:t>
      </w:r>
      <w:r w:rsidR="00943A66" w:rsidRPr="00601BA2">
        <w:rPr>
          <w:sz w:val="22"/>
          <w:szCs w:val="22"/>
          <w:lang w:val="sr-Cyrl-RS"/>
        </w:rPr>
        <w:t>,</w:t>
      </w:r>
      <w:r w:rsidR="00A402A9" w:rsidRPr="00601BA2">
        <w:rPr>
          <w:sz w:val="22"/>
          <w:szCs w:val="22"/>
          <w:lang w:val="sr-Cyrl-RS"/>
        </w:rPr>
        <w:t xml:space="preserve"> њ</w:t>
      </w:r>
      <w:r w:rsidR="002C311F" w:rsidRPr="00601BA2">
        <w:rPr>
          <w:sz w:val="22"/>
          <w:szCs w:val="22"/>
          <w:lang w:val="sr-Cyrl-RS"/>
        </w:rPr>
        <w:t>его</w:t>
      </w:r>
      <w:r w:rsidR="00A402A9" w:rsidRPr="00601BA2">
        <w:rPr>
          <w:sz w:val="22"/>
          <w:szCs w:val="22"/>
          <w:lang w:val="sr-Cyrl-RS"/>
        </w:rPr>
        <w:t>в</w:t>
      </w:r>
      <w:r w:rsidR="00943A66" w:rsidRPr="00601BA2">
        <w:rPr>
          <w:sz w:val="22"/>
          <w:szCs w:val="22"/>
          <w:lang w:val="sr-Cyrl-RS"/>
        </w:rPr>
        <w:t>у</w:t>
      </w:r>
      <w:r w:rsidR="00A402A9" w:rsidRPr="00601BA2">
        <w:rPr>
          <w:sz w:val="22"/>
          <w:szCs w:val="22"/>
          <w:lang w:val="sr-Cyrl-RS"/>
        </w:rPr>
        <w:t xml:space="preserve"> адекватну примен</w:t>
      </w:r>
      <w:r w:rsidR="00943A66" w:rsidRPr="00601BA2">
        <w:rPr>
          <w:sz w:val="22"/>
          <w:szCs w:val="22"/>
          <w:lang w:val="sr-Cyrl-RS"/>
        </w:rPr>
        <w:t>у и инкорпорацију у систем знања који поседују</w:t>
      </w:r>
      <w:r w:rsidR="00A402A9" w:rsidRPr="00601BA2">
        <w:rPr>
          <w:sz w:val="22"/>
          <w:szCs w:val="22"/>
          <w:lang w:val="sr-Cyrl-RS"/>
        </w:rPr>
        <w:t>.</w:t>
      </w:r>
    </w:p>
    <w:p w14:paraId="75C91AF1" w14:textId="68790481" w:rsidR="005F1465" w:rsidRPr="00601BA2" w:rsidRDefault="005F1465" w:rsidP="005F1465">
      <w:pPr>
        <w:jc w:val="both"/>
        <w:rPr>
          <w:b/>
          <w:lang w:val="sr-Cyrl-RS"/>
        </w:rPr>
      </w:pPr>
      <w:r w:rsidRPr="00601BA2">
        <w:rPr>
          <w:lang w:val="sr-Cyrl-RS"/>
        </w:rPr>
        <w:tab/>
      </w:r>
      <w:r w:rsidR="0056451C" w:rsidRPr="00601BA2">
        <w:rPr>
          <w:lang w:val="sr-Cyrl-RS"/>
        </w:rPr>
        <w:t>Чињеница да су овакве публикације недостајале у нашој научно-стручној продукцији, квалитет обраде теме и савре</w:t>
      </w:r>
      <w:r w:rsidR="004273E6" w:rsidRPr="00601BA2">
        <w:rPr>
          <w:lang w:val="sr-Cyrl-RS"/>
        </w:rPr>
        <w:t>ме</w:t>
      </w:r>
      <w:r w:rsidR="0056451C" w:rsidRPr="00601BA2">
        <w:rPr>
          <w:lang w:val="sr-Cyrl-RS"/>
        </w:rPr>
        <w:t xml:space="preserve">ност приступа, </w:t>
      </w:r>
      <w:r w:rsidR="004273E6" w:rsidRPr="00601BA2">
        <w:rPr>
          <w:lang w:val="sr-Cyrl-RS"/>
        </w:rPr>
        <w:t>високи стандарди у домену педагошке функције текста само су неки од фактора који препоручују овај уџбеник различитим врстама корисника, и стога га са великим задовољством предлажем за објављивање.</w:t>
      </w:r>
    </w:p>
    <w:p w14:paraId="3F1B90F4" w14:textId="77777777" w:rsidR="005F1465" w:rsidRPr="00601BA2" w:rsidRDefault="005F1465" w:rsidP="005F1465">
      <w:pPr>
        <w:jc w:val="both"/>
        <w:rPr>
          <w:lang w:val="sr-Cyrl-RS"/>
        </w:rPr>
      </w:pPr>
    </w:p>
    <w:p w14:paraId="1F94AECB" w14:textId="77566A7F" w:rsidR="005F1465" w:rsidRPr="00601BA2" w:rsidRDefault="0016015B" w:rsidP="0016015B">
      <w:pPr>
        <w:rPr>
          <w:lang w:val="sr-Cyrl-RS"/>
        </w:rPr>
      </w:pPr>
      <w:r w:rsidRPr="00601BA2">
        <w:rPr>
          <w:lang w:val="sr-Cyrl-RS"/>
        </w:rPr>
        <w:t>У Нишу</w:t>
      </w:r>
      <w:r w:rsidR="005F1465" w:rsidRPr="00601BA2">
        <w:rPr>
          <w:lang w:val="sr-Cyrl-RS"/>
        </w:rPr>
        <w:t xml:space="preserve">, </w:t>
      </w:r>
      <w:r w:rsidR="002A259C" w:rsidRPr="00601BA2">
        <w:rPr>
          <w:lang w:val="sr-Cyrl-RS"/>
        </w:rPr>
        <w:t>12</w:t>
      </w:r>
      <w:r w:rsidR="005F1465" w:rsidRPr="00601BA2">
        <w:rPr>
          <w:lang w:val="sr-Cyrl-RS"/>
        </w:rPr>
        <w:t>.0</w:t>
      </w:r>
      <w:r w:rsidR="002A259C" w:rsidRPr="00601BA2">
        <w:rPr>
          <w:lang w:val="sr-Cyrl-RS"/>
        </w:rPr>
        <w:t>5</w:t>
      </w:r>
      <w:r w:rsidR="005F1465" w:rsidRPr="00601BA2">
        <w:rPr>
          <w:lang w:val="sr-Cyrl-RS"/>
        </w:rPr>
        <w:t>.20</w:t>
      </w:r>
      <w:r w:rsidR="0056451C" w:rsidRPr="00601BA2">
        <w:rPr>
          <w:lang w:val="sr-Cyrl-RS"/>
        </w:rPr>
        <w:t>22</w:t>
      </w:r>
      <w:r w:rsidR="005F1465" w:rsidRPr="00601BA2">
        <w:rPr>
          <w:lang w:val="sr-Cyrl-RS"/>
        </w:rPr>
        <w:t>.</w:t>
      </w:r>
      <w:r w:rsidR="005F1465" w:rsidRPr="00601BA2">
        <w:rPr>
          <w:lang w:val="sr-Cyrl-RS"/>
        </w:rPr>
        <w:tab/>
      </w:r>
      <w:r w:rsidR="005F1465" w:rsidRPr="00601BA2">
        <w:rPr>
          <w:lang w:val="sr-Cyrl-RS"/>
        </w:rPr>
        <w:tab/>
      </w:r>
      <w:r w:rsidR="005F1465" w:rsidRPr="00601BA2">
        <w:rPr>
          <w:lang w:val="sr-Cyrl-RS"/>
        </w:rPr>
        <w:tab/>
      </w:r>
      <w:r w:rsidR="005F1465" w:rsidRPr="00601BA2">
        <w:rPr>
          <w:lang w:val="sr-Cyrl-RS"/>
        </w:rPr>
        <w:tab/>
      </w:r>
      <w:r w:rsidR="005F1465" w:rsidRPr="00601BA2">
        <w:rPr>
          <w:lang w:val="sr-Cyrl-RS"/>
        </w:rPr>
        <w:tab/>
      </w:r>
      <w:r w:rsidR="005F1465" w:rsidRPr="00601BA2">
        <w:rPr>
          <w:lang w:val="sr-Cyrl-RS"/>
        </w:rPr>
        <w:tab/>
      </w:r>
    </w:p>
    <w:p w14:paraId="26026688" w14:textId="77777777" w:rsidR="005F1465" w:rsidRPr="00601BA2" w:rsidRDefault="005F1465" w:rsidP="005F1465">
      <w:pPr>
        <w:jc w:val="both"/>
        <w:rPr>
          <w:lang w:val="sr-Cyrl-RS"/>
        </w:rPr>
      </w:pPr>
    </w:p>
    <w:p w14:paraId="476296EA" w14:textId="79C7B27A" w:rsidR="002D10E2" w:rsidRPr="00601BA2" w:rsidRDefault="005F1465" w:rsidP="009C53DD">
      <w:pPr>
        <w:jc w:val="both"/>
        <w:rPr>
          <w:lang w:val="sr-Cyrl-RS"/>
        </w:rPr>
      </w:pPr>
      <w:r w:rsidRPr="00601BA2">
        <w:rPr>
          <w:lang w:val="sr-Cyrl-RS"/>
        </w:rPr>
        <w:tab/>
      </w:r>
      <w:r w:rsidRPr="00601BA2">
        <w:rPr>
          <w:lang w:val="sr-Cyrl-RS"/>
        </w:rPr>
        <w:tab/>
      </w:r>
      <w:r w:rsidRPr="00601BA2">
        <w:rPr>
          <w:lang w:val="sr-Cyrl-RS"/>
        </w:rPr>
        <w:tab/>
      </w:r>
      <w:r w:rsidRPr="00601BA2">
        <w:rPr>
          <w:lang w:val="sr-Cyrl-RS"/>
        </w:rPr>
        <w:tab/>
      </w:r>
      <w:r w:rsidRPr="00601BA2">
        <w:rPr>
          <w:lang w:val="sr-Cyrl-RS"/>
        </w:rPr>
        <w:tab/>
      </w:r>
      <w:r w:rsidR="002D10E2" w:rsidRPr="00601BA2">
        <w:rPr>
          <w:lang w:val="sr-Cyrl-RS"/>
        </w:rPr>
        <w:tab/>
      </w:r>
      <w:r w:rsidR="002D10E2" w:rsidRPr="00601BA2">
        <w:rPr>
          <w:lang w:val="sr-Cyrl-RS"/>
        </w:rPr>
        <w:tab/>
        <w:t>__________________________</w:t>
      </w:r>
      <w:r w:rsidR="0056451C" w:rsidRPr="00601BA2">
        <w:rPr>
          <w:lang w:val="sr-Cyrl-RS"/>
        </w:rPr>
        <w:tab/>
      </w:r>
    </w:p>
    <w:p w14:paraId="3650ECA0" w14:textId="05AEBEE1" w:rsidR="0056451C" w:rsidRPr="00601BA2" w:rsidRDefault="0056451C" w:rsidP="002D10E2">
      <w:pPr>
        <w:ind w:left="4248" w:firstLine="708"/>
        <w:jc w:val="both"/>
        <w:rPr>
          <w:lang w:val="sr-Cyrl-RS"/>
        </w:rPr>
      </w:pPr>
      <w:r w:rsidRPr="00601BA2">
        <w:rPr>
          <w:lang w:val="sr-Cyrl-RS"/>
        </w:rPr>
        <w:t>Пр</w:t>
      </w:r>
      <w:r w:rsidR="002A259C" w:rsidRPr="00601BA2">
        <w:rPr>
          <w:lang w:val="sr-Cyrl-RS"/>
        </w:rPr>
        <w:t>оф</w:t>
      </w:r>
      <w:r w:rsidRPr="00601BA2">
        <w:rPr>
          <w:lang w:val="sr-Cyrl-RS"/>
        </w:rPr>
        <w:t>. др Владимир Ж. Јовановић</w:t>
      </w:r>
    </w:p>
    <w:p w14:paraId="2E483284" w14:textId="561DA5B6" w:rsidR="0056451C" w:rsidRPr="00601BA2" w:rsidRDefault="0056451C" w:rsidP="0056451C">
      <w:pPr>
        <w:ind w:left="4956" w:firstLine="8"/>
        <w:jc w:val="both"/>
        <w:rPr>
          <w:lang w:val="sr-Cyrl-RS"/>
        </w:rPr>
      </w:pPr>
      <w:r w:rsidRPr="00601BA2">
        <w:rPr>
          <w:lang w:val="sr-Cyrl-RS"/>
        </w:rPr>
        <w:t xml:space="preserve">Редовни професор на Департману за Англистику </w:t>
      </w:r>
    </w:p>
    <w:p w14:paraId="2DFB4DE0" w14:textId="4424D55B" w:rsidR="0056451C" w:rsidRPr="00601BA2" w:rsidRDefault="0056451C" w:rsidP="002D10E2">
      <w:pPr>
        <w:jc w:val="both"/>
        <w:rPr>
          <w:lang w:val="sr-Cyrl-RS"/>
        </w:rPr>
      </w:pPr>
      <w:r w:rsidRPr="00601BA2">
        <w:rPr>
          <w:lang w:val="sr-Cyrl-RS"/>
        </w:rPr>
        <w:tab/>
      </w:r>
      <w:r w:rsidRPr="00601BA2">
        <w:rPr>
          <w:lang w:val="sr-Cyrl-RS"/>
        </w:rPr>
        <w:tab/>
      </w:r>
      <w:r w:rsidRPr="00601BA2">
        <w:rPr>
          <w:lang w:val="sr-Cyrl-RS"/>
        </w:rPr>
        <w:tab/>
      </w:r>
      <w:r w:rsidRPr="00601BA2">
        <w:rPr>
          <w:lang w:val="sr-Cyrl-RS"/>
        </w:rPr>
        <w:tab/>
      </w:r>
      <w:r w:rsidRPr="00601BA2">
        <w:rPr>
          <w:lang w:val="sr-Cyrl-RS"/>
        </w:rPr>
        <w:tab/>
      </w:r>
      <w:r w:rsidRPr="00601BA2">
        <w:rPr>
          <w:lang w:val="sr-Cyrl-RS"/>
        </w:rPr>
        <w:tab/>
      </w:r>
      <w:r w:rsidRPr="00601BA2">
        <w:rPr>
          <w:lang w:val="sr-Cyrl-RS"/>
        </w:rPr>
        <w:tab/>
        <w:t>Универзитет у Нишу</w:t>
      </w:r>
    </w:p>
    <w:sectPr w:rsidR="0056451C" w:rsidRPr="00601BA2" w:rsidSect="005F1465">
      <w:pgSz w:w="12240" w:h="15840"/>
      <w:pgMar w:top="1135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D02"/>
    <w:rsid w:val="0002475F"/>
    <w:rsid w:val="00026DBF"/>
    <w:rsid w:val="00037AD1"/>
    <w:rsid w:val="000431DB"/>
    <w:rsid w:val="00076A9F"/>
    <w:rsid w:val="00091054"/>
    <w:rsid w:val="000A781F"/>
    <w:rsid w:val="000B1F36"/>
    <w:rsid w:val="000C09BE"/>
    <w:rsid w:val="00146D2C"/>
    <w:rsid w:val="00152D47"/>
    <w:rsid w:val="0016015B"/>
    <w:rsid w:val="00184EDC"/>
    <w:rsid w:val="00187102"/>
    <w:rsid w:val="00193C99"/>
    <w:rsid w:val="001B1D03"/>
    <w:rsid w:val="001B2BE4"/>
    <w:rsid w:val="001C691C"/>
    <w:rsid w:val="00204018"/>
    <w:rsid w:val="002055F5"/>
    <w:rsid w:val="00205917"/>
    <w:rsid w:val="002077B2"/>
    <w:rsid w:val="002148FD"/>
    <w:rsid w:val="00227B22"/>
    <w:rsid w:val="002319C9"/>
    <w:rsid w:val="0024181E"/>
    <w:rsid w:val="00263D02"/>
    <w:rsid w:val="0026657B"/>
    <w:rsid w:val="0027363A"/>
    <w:rsid w:val="00273760"/>
    <w:rsid w:val="00295CF4"/>
    <w:rsid w:val="002968D8"/>
    <w:rsid w:val="002A259C"/>
    <w:rsid w:val="002B147C"/>
    <w:rsid w:val="002C311F"/>
    <w:rsid w:val="002D0347"/>
    <w:rsid w:val="002D10E2"/>
    <w:rsid w:val="003006FF"/>
    <w:rsid w:val="003061B1"/>
    <w:rsid w:val="003606DB"/>
    <w:rsid w:val="00361DAE"/>
    <w:rsid w:val="003704C5"/>
    <w:rsid w:val="003800C3"/>
    <w:rsid w:val="00382255"/>
    <w:rsid w:val="003A525E"/>
    <w:rsid w:val="00412869"/>
    <w:rsid w:val="004273E6"/>
    <w:rsid w:val="00442FE0"/>
    <w:rsid w:val="004528CD"/>
    <w:rsid w:val="00456CA1"/>
    <w:rsid w:val="004774B3"/>
    <w:rsid w:val="004929D9"/>
    <w:rsid w:val="00494CB8"/>
    <w:rsid w:val="004B1E47"/>
    <w:rsid w:val="004B5C2C"/>
    <w:rsid w:val="004D7A48"/>
    <w:rsid w:val="004F6C04"/>
    <w:rsid w:val="0050027D"/>
    <w:rsid w:val="00522E60"/>
    <w:rsid w:val="0052621B"/>
    <w:rsid w:val="0053456B"/>
    <w:rsid w:val="0056451C"/>
    <w:rsid w:val="00577F05"/>
    <w:rsid w:val="005B3FE1"/>
    <w:rsid w:val="005D0738"/>
    <w:rsid w:val="005D658C"/>
    <w:rsid w:val="005E0FCE"/>
    <w:rsid w:val="005F004B"/>
    <w:rsid w:val="005F1465"/>
    <w:rsid w:val="00601BA2"/>
    <w:rsid w:val="00605A8A"/>
    <w:rsid w:val="006333C8"/>
    <w:rsid w:val="00644D34"/>
    <w:rsid w:val="00655B6C"/>
    <w:rsid w:val="0067305A"/>
    <w:rsid w:val="006732D8"/>
    <w:rsid w:val="00675699"/>
    <w:rsid w:val="00680B23"/>
    <w:rsid w:val="00685490"/>
    <w:rsid w:val="00686D78"/>
    <w:rsid w:val="00694B66"/>
    <w:rsid w:val="006979E8"/>
    <w:rsid w:val="006B7176"/>
    <w:rsid w:val="006C3F72"/>
    <w:rsid w:val="006C6E3C"/>
    <w:rsid w:val="006D7284"/>
    <w:rsid w:val="006E71B9"/>
    <w:rsid w:val="006F5AFD"/>
    <w:rsid w:val="00702972"/>
    <w:rsid w:val="00710A5D"/>
    <w:rsid w:val="00722A12"/>
    <w:rsid w:val="00723D16"/>
    <w:rsid w:val="00733053"/>
    <w:rsid w:val="007376C0"/>
    <w:rsid w:val="007671DC"/>
    <w:rsid w:val="00780B73"/>
    <w:rsid w:val="00784A98"/>
    <w:rsid w:val="007B1940"/>
    <w:rsid w:val="00806E0F"/>
    <w:rsid w:val="00824BD9"/>
    <w:rsid w:val="008701C9"/>
    <w:rsid w:val="00883574"/>
    <w:rsid w:val="008A5DE8"/>
    <w:rsid w:val="008B656C"/>
    <w:rsid w:val="008D21A6"/>
    <w:rsid w:val="008F20B0"/>
    <w:rsid w:val="008F2542"/>
    <w:rsid w:val="00901285"/>
    <w:rsid w:val="00902C29"/>
    <w:rsid w:val="00903863"/>
    <w:rsid w:val="009141DF"/>
    <w:rsid w:val="00924E6D"/>
    <w:rsid w:val="00937A18"/>
    <w:rsid w:val="00943A66"/>
    <w:rsid w:val="00953876"/>
    <w:rsid w:val="0095434E"/>
    <w:rsid w:val="009564FF"/>
    <w:rsid w:val="009A0D0F"/>
    <w:rsid w:val="009A1940"/>
    <w:rsid w:val="009A6D7B"/>
    <w:rsid w:val="009C4F55"/>
    <w:rsid w:val="009D3919"/>
    <w:rsid w:val="00A07B8C"/>
    <w:rsid w:val="00A17E6C"/>
    <w:rsid w:val="00A30E4E"/>
    <w:rsid w:val="00A402A9"/>
    <w:rsid w:val="00A64E3B"/>
    <w:rsid w:val="00AB2624"/>
    <w:rsid w:val="00AD393A"/>
    <w:rsid w:val="00AD62F0"/>
    <w:rsid w:val="00AE1A58"/>
    <w:rsid w:val="00AE1C76"/>
    <w:rsid w:val="00AE593F"/>
    <w:rsid w:val="00AF11DA"/>
    <w:rsid w:val="00AF425A"/>
    <w:rsid w:val="00B1359B"/>
    <w:rsid w:val="00B1748A"/>
    <w:rsid w:val="00B47F02"/>
    <w:rsid w:val="00B64B3D"/>
    <w:rsid w:val="00B768F1"/>
    <w:rsid w:val="00B80AA4"/>
    <w:rsid w:val="00B92387"/>
    <w:rsid w:val="00BA3377"/>
    <w:rsid w:val="00BC54DB"/>
    <w:rsid w:val="00BD1D94"/>
    <w:rsid w:val="00BD732F"/>
    <w:rsid w:val="00BE5821"/>
    <w:rsid w:val="00BF27B5"/>
    <w:rsid w:val="00BF73A4"/>
    <w:rsid w:val="00C42521"/>
    <w:rsid w:val="00C52BED"/>
    <w:rsid w:val="00C95913"/>
    <w:rsid w:val="00CA6302"/>
    <w:rsid w:val="00CA6F65"/>
    <w:rsid w:val="00CC421C"/>
    <w:rsid w:val="00CD614A"/>
    <w:rsid w:val="00CF1D62"/>
    <w:rsid w:val="00D4445C"/>
    <w:rsid w:val="00D458B6"/>
    <w:rsid w:val="00D67198"/>
    <w:rsid w:val="00D671B2"/>
    <w:rsid w:val="00D729A3"/>
    <w:rsid w:val="00D972A7"/>
    <w:rsid w:val="00DC1ABB"/>
    <w:rsid w:val="00DD0DBB"/>
    <w:rsid w:val="00DD1C82"/>
    <w:rsid w:val="00DD1CC4"/>
    <w:rsid w:val="00DF0595"/>
    <w:rsid w:val="00DF181B"/>
    <w:rsid w:val="00DF282A"/>
    <w:rsid w:val="00E205EC"/>
    <w:rsid w:val="00E46F81"/>
    <w:rsid w:val="00E51500"/>
    <w:rsid w:val="00E618C5"/>
    <w:rsid w:val="00E70A07"/>
    <w:rsid w:val="00E71485"/>
    <w:rsid w:val="00EA6B1B"/>
    <w:rsid w:val="00EB7A4E"/>
    <w:rsid w:val="00EC3CC1"/>
    <w:rsid w:val="00EC79EA"/>
    <w:rsid w:val="00EF0ADA"/>
    <w:rsid w:val="00EF494B"/>
    <w:rsid w:val="00F040A6"/>
    <w:rsid w:val="00F07408"/>
    <w:rsid w:val="00F2692E"/>
    <w:rsid w:val="00F36626"/>
    <w:rsid w:val="00F50AC8"/>
    <w:rsid w:val="00F5491A"/>
    <w:rsid w:val="00F70CA0"/>
    <w:rsid w:val="00F80178"/>
    <w:rsid w:val="00FA0CF3"/>
    <w:rsid w:val="00FC32CD"/>
    <w:rsid w:val="00FD270D"/>
    <w:rsid w:val="00FD7FA5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21595"/>
  <w15:chartTrackingRefBased/>
  <w15:docId w15:val="{C77421E6-7E11-421C-831B-EDCED598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Jovanović</dc:creator>
  <cp:keywords/>
  <dc:description/>
  <cp:lastModifiedBy>Snežana Miljković</cp:lastModifiedBy>
  <cp:revision>2</cp:revision>
  <dcterms:created xsi:type="dcterms:W3CDTF">2022-05-12T09:18:00Z</dcterms:created>
  <dcterms:modified xsi:type="dcterms:W3CDTF">2022-05-12T09:18:00Z</dcterms:modified>
</cp:coreProperties>
</file>